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245B" w14:textId="7C01012C" w:rsidR="00B858C3" w:rsidRPr="000F3238" w:rsidRDefault="000F3238">
      <w:pPr>
        <w:rPr>
          <w:b/>
          <w:bCs/>
        </w:rPr>
      </w:pPr>
      <w:r w:rsidRPr="000F3238">
        <w:rPr>
          <w:b/>
          <w:bCs/>
        </w:rPr>
        <w:t>HEDGING AND SPECULATING</w:t>
      </w:r>
    </w:p>
    <w:p w14:paraId="4D96F257" w14:textId="7B5AF658" w:rsidR="00432463" w:rsidRPr="000F3238" w:rsidRDefault="000F3238">
      <w:pPr>
        <w:rPr>
          <w:b/>
          <w:bCs/>
        </w:rPr>
      </w:pPr>
      <w:r w:rsidRPr="000F3238">
        <w:rPr>
          <w:b/>
          <w:bCs/>
        </w:rPr>
        <w:t>Why is hedging a key economic activity?</w:t>
      </w:r>
    </w:p>
    <w:p w14:paraId="6BA997FC" w14:textId="7142847E" w:rsidR="00432463" w:rsidRDefault="000F3238">
      <w:r>
        <w:tab/>
        <w:t>Hedging is a key economic strategy for managing risks. It acts as a form of protecting relative portfolios surrounding the business.</w:t>
      </w:r>
    </w:p>
    <w:p w14:paraId="43244C14" w14:textId="61550478" w:rsidR="00432463" w:rsidRDefault="000F3238">
      <w:r w:rsidRPr="000F3238">
        <w:rPr>
          <w:b/>
          <w:bCs/>
        </w:rPr>
        <w:t>Companies have some reasons as to why they hedge. For instance</w:t>
      </w:r>
      <w:r>
        <w:t>.</w:t>
      </w:r>
    </w:p>
    <w:p w14:paraId="15995580" w14:textId="4796B87F" w:rsidR="00432463" w:rsidRDefault="000F3238">
      <w:r>
        <w:t>Those who bear the risk are in a better position of doing so</w:t>
      </w:r>
      <w:sdt>
        <w:sdtPr>
          <w:id w:val="-814641522"/>
          <w:citation/>
        </w:sdtPr>
        <w:sdtEndPr/>
        <w:sdtContent>
          <w:r w:rsidR="006C12FD">
            <w:fldChar w:fldCharType="begin"/>
          </w:r>
          <w:r w:rsidR="006C12FD">
            <w:instrText xml:space="preserve"> CITATION Aca12 \l 1033 </w:instrText>
          </w:r>
          <w:r w:rsidR="006C12FD">
            <w:fldChar w:fldCharType="separate"/>
          </w:r>
          <w:r w:rsidR="006C12FD">
            <w:rPr>
              <w:noProof/>
            </w:rPr>
            <w:t xml:space="preserve"> (Academy, 2012)</w:t>
          </w:r>
          <w:r w:rsidR="006C12FD">
            <w:fldChar w:fldCharType="end"/>
          </w:r>
        </w:sdtContent>
      </w:sdt>
      <w:r>
        <w:t>. Through this, they are capable of avoiding losses. Mostly, these companies are not diversified into smaller regions hence</w:t>
      </w:r>
      <w:r w:rsidR="00986936">
        <w:t xml:space="preserve"> transfer the risk to those entities that can handle it.</w:t>
      </w:r>
    </w:p>
    <w:p w14:paraId="7C3C2FE2" w14:textId="14698773" w:rsidR="00986936" w:rsidRDefault="000F3238">
      <w:r>
        <w:t xml:space="preserve">Moreover, companies hedge because they lower their liability in terms of taxes. This is further contributed to by the possibility of reduced insurance premiums. </w:t>
      </w:r>
    </w:p>
    <w:p w14:paraId="2F7DF336" w14:textId="6DD9BDD7" w:rsidR="00F50D40" w:rsidRPr="000F3238" w:rsidRDefault="000F3238">
      <w:pPr>
        <w:rPr>
          <w:b/>
          <w:bCs/>
        </w:rPr>
      </w:pPr>
      <w:r w:rsidRPr="000F3238">
        <w:rPr>
          <w:b/>
          <w:bCs/>
        </w:rPr>
        <w:t>Type of exposures that JP Morgan Chase have and the amount they hedge</w:t>
      </w:r>
    </w:p>
    <w:p w14:paraId="5554CF53" w14:textId="4331C7C3" w:rsidR="00F50D40" w:rsidRDefault="000F3238">
      <w:r>
        <w:t xml:space="preserve">The types of exposures that JP Morgan Chase has include currency, and the appropriate size of portfolio surrounding investor requirements. </w:t>
      </w:r>
    </w:p>
    <w:p w14:paraId="67C96578" w14:textId="0CE9F4E5" w:rsidR="00F50D40" w:rsidRDefault="000F3238">
      <w:r>
        <w:t xml:space="preserve">In terms of currency, the exposure can be subdivided into </w:t>
      </w:r>
      <w:r w:rsidR="00AD5C11">
        <w:t>two segments. The first segment emphasizes asset</w:t>
      </w:r>
      <w:sdt>
        <w:sdtPr>
          <w:id w:val="1480185834"/>
          <w:citation/>
        </w:sdtPr>
        <w:sdtEndPr/>
        <w:sdtContent>
          <w:r w:rsidR="006C12FD">
            <w:fldChar w:fldCharType="begin"/>
          </w:r>
          <w:r w:rsidR="006C12FD">
            <w:instrText xml:space="preserve"> CITATION Rog21 \l 1033 </w:instrText>
          </w:r>
          <w:r w:rsidR="006C12FD">
            <w:fldChar w:fldCharType="separate"/>
          </w:r>
          <w:r w:rsidR="006C12FD">
            <w:rPr>
              <w:noProof/>
            </w:rPr>
            <w:t>s (Roger Hallam, 2021)</w:t>
          </w:r>
          <w:r w:rsidR="006C12FD">
            <w:fldChar w:fldCharType="end"/>
          </w:r>
        </w:sdtContent>
      </w:sdt>
      <w:r w:rsidR="00AD5C11">
        <w:t xml:space="preserve">. Its existence is responsible for the exposure of the company. JP Morgan has been exposed due to the number of assets it possesses. </w:t>
      </w:r>
    </w:p>
    <w:p w14:paraId="58467645" w14:textId="60427547" w:rsidR="00AD5C11" w:rsidRDefault="000F3238">
      <w:r>
        <w:t xml:space="preserve">The second segment emphasizes the amount of currency to risk. By depending on the risk possibility by investors, it is appropriate to </w:t>
      </w:r>
      <w:r w:rsidR="006336DC">
        <w:t xml:space="preserve">outline how much can be risked, and how much can be entailed. Under the environment of the currency in the market, it is significant in establishing the need to understand how to control it. </w:t>
      </w:r>
    </w:p>
    <w:p w14:paraId="2C0F55F5" w14:textId="77777777" w:rsidR="00C27345" w:rsidRDefault="00C27345"/>
    <w:p w14:paraId="709A1974" w14:textId="4F84932F" w:rsidR="00C27345" w:rsidRPr="000F3238" w:rsidRDefault="000F3238">
      <w:pPr>
        <w:rPr>
          <w:b/>
          <w:bCs/>
        </w:rPr>
      </w:pPr>
      <w:r w:rsidRPr="000F3238">
        <w:rPr>
          <w:b/>
          <w:bCs/>
        </w:rPr>
        <w:lastRenderedPageBreak/>
        <w:t>What is speculation and who does it?</w:t>
      </w:r>
    </w:p>
    <w:p w14:paraId="60BD0C0F" w14:textId="28E04392" w:rsidR="00C27345" w:rsidRDefault="000F3238">
      <w:r>
        <w:t xml:space="preserve">Speculation refers to the process of purchasing an asset with the expectation that its value might appreciate in the future. </w:t>
      </w:r>
    </w:p>
    <w:p w14:paraId="3E8CEE23" w14:textId="2F786F26" w:rsidR="00C27345" w:rsidRDefault="000F3238">
      <w:r>
        <w:t xml:space="preserve">The process of speculation is mostly done by investors who aim at purchasing assets and making a profit off them later. </w:t>
      </w:r>
      <w:r w:rsidR="00713995">
        <w:t xml:space="preserve">They scout assets that have the potential of appreciation and purchase them. Later, they find potential buyers interested in their catch and convince them to buy. Speculation has different advantages including regulating the state of the economy and designing the risk-bearing. Its disadvantages include the existence of unrealistic prices, </w:t>
      </w:r>
      <w:r w:rsidR="00AF3BF2">
        <w:t>and it affects a specific segment of the market at some point in time.</w:t>
      </w:r>
    </w:p>
    <w:p w14:paraId="3A4CE1B7" w14:textId="0E2F51D2" w:rsidR="00AF3BF2" w:rsidRPr="000F3238" w:rsidRDefault="000F3238">
      <w:pPr>
        <w:rPr>
          <w:b/>
          <w:bCs/>
        </w:rPr>
      </w:pPr>
      <w:r w:rsidRPr="000F3238">
        <w:rPr>
          <w:b/>
          <w:bCs/>
        </w:rPr>
        <w:t>Stocks an assets class that you want to speculate in. Explain the reasoning and base it on market research.</w:t>
      </w:r>
    </w:p>
    <w:p w14:paraId="68D9F615" w14:textId="6F7B22F0" w:rsidR="00AF3BF2" w:rsidRDefault="000F3238">
      <w:r>
        <w:t xml:space="preserve">In the asset class, the property is considered as one of the entities categorized mostly by growth. There exists the possibility of having higher returns where buying and selling of properties are involved. It is diversified in the sense that, the property can be purchased </w:t>
      </w:r>
      <w:r w:rsidR="00246412">
        <w:t xml:space="preserve">without paying cash wholesomely and also sold at a profit. Additionally, properties can be ranked and listed as part of securities. This gives individuals the possibility of owning apartments and rental spaces in small percentages. </w:t>
      </w:r>
    </w:p>
    <w:p w14:paraId="61F84B3E" w14:textId="77777777" w:rsidR="00246412" w:rsidRDefault="000F3238">
      <w:r>
        <w:t xml:space="preserve">Property has provided a platform for the possibility of growing in terms of value before the existence of inflation. Compared to other asset classes, the property has successfully stood and proved to be competent than the rest. While comparing to equities and bonds, properties have a better preference. It can be considered as a good source of income as compared to the </w:t>
      </w:r>
      <w:r w:rsidR="00960CFA">
        <w:t xml:space="preserve">other entities in its class. Furthermore, rents go hand in hand with inflation. Therefore, makes it easy </w:t>
      </w:r>
      <w:r w:rsidR="00960CFA">
        <w:lastRenderedPageBreak/>
        <w:t xml:space="preserve">for a property to stay relevant for longer periods. From time immemorial, investors are attracted to this class for the sake of the financial security it offers. </w:t>
      </w:r>
    </w:p>
    <w:sdt>
      <w:sdtPr>
        <w:rPr>
          <w:rFonts w:ascii="Times New Roman" w:eastAsiaTheme="minorHAnsi" w:hAnsi="Times New Roman" w:cs="Times New Roman"/>
          <w:color w:val="auto"/>
          <w:sz w:val="24"/>
          <w:szCs w:val="24"/>
        </w:rPr>
        <w:id w:val="-1630778672"/>
        <w:docPartObj>
          <w:docPartGallery w:val="Bibliographies"/>
          <w:docPartUnique/>
        </w:docPartObj>
      </w:sdtPr>
      <w:sdtEndPr/>
      <w:sdtContent>
        <w:p w14:paraId="664D31A6" w14:textId="72DF4368" w:rsidR="00B4332D" w:rsidRDefault="000F3238">
          <w:pPr>
            <w:pStyle w:val="Heading1"/>
          </w:pPr>
          <w:r>
            <w:t>References</w:t>
          </w:r>
        </w:p>
        <w:sdt>
          <w:sdtPr>
            <w:id w:val="-573587230"/>
            <w:bibliography/>
          </w:sdtPr>
          <w:sdtEndPr/>
          <w:sdtContent>
            <w:p w14:paraId="75319A20" w14:textId="77777777" w:rsidR="00B4332D" w:rsidRDefault="000F3238" w:rsidP="00B4332D">
              <w:pPr>
                <w:pStyle w:val="Bibliography"/>
                <w:ind w:left="720" w:hanging="720"/>
                <w:rPr>
                  <w:noProof/>
                </w:rPr>
              </w:pPr>
              <w:r>
                <w:fldChar w:fldCharType="begin"/>
              </w:r>
              <w:r>
                <w:instrText xml:space="preserve"> BIBLIOGRAPHY </w:instrText>
              </w:r>
              <w:r>
                <w:fldChar w:fldCharType="separate"/>
              </w:r>
              <w:r>
                <w:rPr>
                  <w:noProof/>
                </w:rPr>
                <w:t>Academy, S. (2012). Risk Management for Enterprises and Individuals. Retrieved from https://saylordotorg.github.io/text_risk-management-for-enterprises-and-individuals/index.html</w:t>
              </w:r>
            </w:p>
            <w:p w14:paraId="0AF2A554" w14:textId="77777777" w:rsidR="00B4332D" w:rsidRDefault="000F3238" w:rsidP="00B4332D">
              <w:pPr>
                <w:pStyle w:val="Bibliography"/>
                <w:ind w:left="720" w:hanging="720"/>
                <w:rPr>
                  <w:noProof/>
                </w:rPr>
              </w:pPr>
              <w:r>
                <w:rPr>
                  <w:noProof/>
                </w:rPr>
                <w:t xml:space="preserve">Buying an asset or financial security for short-term gain. (2021). </w:t>
              </w:r>
              <w:r>
                <w:rPr>
                  <w:i/>
                  <w:iCs/>
                  <w:noProof/>
                </w:rPr>
                <w:t>CFI</w:t>
              </w:r>
              <w:r>
                <w:rPr>
                  <w:noProof/>
                </w:rPr>
                <w:t>. Retrieved from https://corporatefinanceinstitute.com/resources/knowledge/trading-investing/speculation/</w:t>
              </w:r>
            </w:p>
            <w:p w14:paraId="19BD49FB" w14:textId="77777777" w:rsidR="00B4332D" w:rsidRDefault="000F3238" w:rsidP="00B4332D">
              <w:pPr>
                <w:pStyle w:val="Bibliography"/>
                <w:ind w:left="720" w:hanging="720"/>
                <w:rPr>
                  <w:noProof/>
                </w:rPr>
              </w:pPr>
              <w:r>
                <w:rPr>
                  <w:noProof/>
                </w:rPr>
                <w:t xml:space="preserve">Roger Hallam, N. R. (2021). To hedge or not to hedge, that is the question. </w:t>
              </w:r>
              <w:r>
                <w:rPr>
                  <w:i/>
                  <w:iCs/>
                  <w:noProof/>
                </w:rPr>
                <w:t>J.P Morgan Asset Management</w:t>
              </w:r>
              <w:r>
                <w:rPr>
                  <w:noProof/>
                </w:rPr>
                <w:t>. Retrieved from https://am.jpmorgan.com/lu/en/asset-management/institutional/insights/portfolio-insights/currency/to-hedge-or-not-to-hedge/</w:t>
              </w:r>
            </w:p>
            <w:p w14:paraId="3A76A5B7" w14:textId="47EE7B1D" w:rsidR="00B4332D" w:rsidRDefault="000F3238" w:rsidP="00B4332D">
              <w:r>
                <w:rPr>
                  <w:b/>
                  <w:bCs/>
                  <w:noProof/>
                </w:rPr>
                <w:fldChar w:fldCharType="end"/>
              </w:r>
            </w:p>
          </w:sdtContent>
        </w:sdt>
      </w:sdtContent>
    </w:sdt>
    <w:p w14:paraId="05B57FCE" w14:textId="77777777" w:rsidR="00B4332D" w:rsidRDefault="00B4332D"/>
    <w:sectPr w:rsidR="00B43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63"/>
    <w:rsid w:val="000F3238"/>
    <w:rsid w:val="00246412"/>
    <w:rsid w:val="00432463"/>
    <w:rsid w:val="0043516A"/>
    <w:rsid w:val="006336DC"/>
    <w:rsid w:val="006C12FD"/>
    <w:rsid w:val="006C455B"/>
    <w:rsid w:val="00713995"/>
    <w:rsid w:val="00960CFA"/>
    <w:rsid w:val="00986936"/>
    <w:rsid w:val="00AD5C11"/>
    <w:rsid w:val="00AF3BF2"/>
    <w:rsid w:val="00B4332D"/>
    <w:rsid w:val="00B858C3"/>
    <w:rsid w:val="00C27345"/>
    <w:rsid w:val="00F50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540A"/>
  <w15:chartTrackingRefBased/>
  <w15:docId w15:val="{283FC46D-D9CE-4795-A0A4-F9C99C0D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332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32D"/>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B43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Aca12</b:Tag>
    <b:SourceType>JournalArticle</b:SourceType>
    <b:Guid>{D81BCEFF-05D9-4E57-B366-2337A1BA65BC}</b:Guid>
    <b:Author>
      <b:Author>
        <b:NameList>
          <b:Person>
            <b:Last>Academy</b:Last>
            <b:First>Saylor</b:First>
          </b:Person>
        </b:NameList>
      </b:Author>
    </b:Author>
    <b:Title>Risk Management for Enterprises and Individuals</b:Title>
    <b:Year>2012</b:Year>
    <b:URL>https://saylordotorg.github.io/text_risk-management-for-enterprises-and-individuals/index.html</b:URL>
    <b:RefOrder>1</b:RefOrder>
  </b:Source>
  <b:Source>
    <b:Tag>Rog21</b:Tag>
    <b:SourceType>JournalArticle</b:SourceType>
    <b:Guid>{98972390-0705-4A54-BC4C-132C87CBD375}</b:Guid>
    <b:Author>
      <b:Author>
        <b:NameList>
          <b:Person>
            <b:Last>Roger Hallam</b:Last>
            <b:First>Nigel</b:First>
            <b:Middle>Rayment</b:Middle>
          </b:Person>
        </b:NameList>
      </b:Author>
    </b:Author>
    <b:Title>To hedge or not to hedge, that is the question</b:Title>
    <b:JournalName>J.P Morgan Asset Management</b:JournalName>
    <b:Year>2021</b:Year>
    <b:URL>https://am.jpmorgan.com/lu/en/asset-management/institutional/insights/portfolio-insights/currency/to-hedge-or-not-to-hedge/</b:URL>
    <b:RefOrder>2</b:RefOrder>
  </b:Source>
  <b:Source>
    <b:Tag>Buy21</b:Tag>
    <b:SourceType>JournalArticle</b:SourceType>
    <b:Guid>{F05BCC9F-07A8-4DF0-8FD6-F1FE4F7CEB1C}</b:Guid>
    <b:Title>Buying an asset or financial security for short-term gain</b:Title>
    <b:JournalName>CFI</b:JournalName>
    <b:Year>2021</b:Year>
    <b:URL>https://corporatefinanceinstitute.com/resources/knowledge/trading-investing/speculation/</b:URL>
    <b:RefOrder>3</b:RefOrder>
  </b:Source>
</b:Sources>
</file>

<file path=customXml/itemProps1.xml><?xml version="1.0" encoding="utf-8"?>
<ds:datastoreItem xmlns:ds="http://schemas.openxmlformats.org/officeDocument/2006/customXml" ds:itemID="{6C29C928-6030-4346-BEF9-9A5B4658C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Snah</dc:creator>
  <cp:lastModifiedBy>KIBE</cp:lastModifiedBy>
  <cp:revision>2</cp:revision>
  <dcterms:created xsi:type="dcterms:W3CDTF">2021-09-15T21:47:00Z</dcterms:created>
  <dcterms:modified xsi:type="dcterms:W3CDTF">2021-09-15T21:47:00Z</dcterms:modified>
</cp:coreProperties>
</file>